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7" w:rsidRPr="006D7CFA" w:rsidRDefault="00F36377" w:rsidP="006D7CFA">
      <w:pPr>
        <w:jc w:val="right"/>
        <w:rPr>
          <w:rFonts w:ascii="Arial" w:hAnsi="Arial" w:cs="Arial"/>
          <w:sz w:val="20"/>
          <w:szCs w:val="20"/>
        </w:rPr>
      </w:pPr>
    </w:p>
    <w:p w:rsidR="003554AD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>Załącznik nr 1 do SIWZ</w:t>
      </w:r>
    </w:p>
    <w:p w:rsidR="003554AD" w:rsidRPr="00173A79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3554AD" w:rsidRDefault="003554AD" w:rsidP="003554AD">
      <w:pPr>
        <w:jc w:val="center"/>
        <w:rPr>
          <w:b/>
        </w:rPr>
      </w:pPr>
      <w:r>
        <w:rPr>
          <w:b/>
          <w:bCs/>
        </w:rPr>
        <w:t xml:space="preserve">Wymagania techniczne dla samochodu </w:t>
      </w:r>
      <w:r>
        <w:rPr>
          <w:b/>
        </w:rPr>
        <w:t>pożarniczego typ ciężki z napędem 4x4 z funkcją do ograniczania stref skażeń</w:t>
      </w:r>
    </w:p>
    <w:p w:rsidR="003554AD" w:rsidRDefault="003554AD" w:rsidP="003554AD">
      <w:pPr>
        <w:jc w:val="center"/>
        <w:rPr>
          <w:b/>
        </w:rPr>
      </w:pPr>
    </w:p>
    <w:p w:rsidR="00730CDC" w:rsidRPr="009C7828" w:rsidRDefault="00730CDC" w:rsidP="003554AD">
      <w:pPr>
        <w:jc w:val="center"/>
        <w:rPr>
          <w:b/>
        </w:rPr>
      </w:pPr>
    </w:p>
    <w:tbl>
      <w:tblPr>
        <w:tblW w:w="14459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033"/>
      </w:tblGrid>
      <w:tr w:rsidR="003554AD" w:rsidTr="002311D5">
        <w:trPr>
          <w:trHeight w:val="34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 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WYMAGANIA</w:t>
            </w:r>
          </w:p>
        </w:tc>
      </w:tr>
      <w:tr w:rsidR="003554AD" w:rsidTr="002311D5">
        <w:trPr>
          <w:tblHeader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ind w:hanging="1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Pojazd fabrycznie nowy,  rok produkcji 2017. Rok produkcji  podwozia nie starszy 2016. 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zabudowany i wyposażony musi spełniać wymagania:</w:t>
            </w:r>
          </w:p>
          <w:p w:rsidR="003554AD" w:rsidRPr="001E5258" w:rsidRDefault="003554AD" w:rsidP="002311D5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ustawy „Prawo o ruchu drogowym” (t.j. Dz. U. z 2012r. Nr 198 poz. 1137 ze zmianami),</w:t>
            </w:r>
          </w:p>
          <w:p w:rsidR="003554AD" w:rsidRPr="001E5258" w:rsidRDefault="003554AD" w:rsidP="002311D5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Ministra Infrastruktury z dnia 31 grudnia 2002r. w sprawie warunków technicznych pojazdów oraz zakresu ich niezbędnego wyposażenia (Dz. U. Nr 32 z 2003 r., poz. 262 z późniejszymi zmianami),</w:t>
            </w:r>
          </w:p>
          <w:p w:rsidR="003554AD" w:rsidRPr="001E5258" w:rsidRDefault="003554AD" w:rsidP="002311D5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zmianami),</w:t>
            </w:r>
          </w:p>
          <w:p w:rsidR="003554AD" w:rsidRPr="001E5258" w:rsidRDefault="003554AD" w:rsidP="002311D5">
            <w:pPr>
              <w:shd w:val="clear" w:color="auto" w:fill="FFFFFF"/>
              <w:tabs>
                <w:tab w:val="left" w:pos="792"/>
              </w:tabs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rozporządzenia Ministrów: Spraw Wewnętrznych i Administracji,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Nr 165 z dnia 02 sierpnia 2011 r.),</w:t>
            </w:r>
          </w:p>
          <w:p w:rsidR="003554AD" w:rsidRPr="001E5258" w:rsidRDefault="003554AD" w:rsidP="002311D5">
            <w:pPr>
              <w:shd w:val="clear" w:color="auto" w:fill="FFFFFF"/>
              <w:tabs>
                <w:tab w:val="left" w:pos="792"/>
              </w:tabs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norm PN-EN 1846-1 i PN-EN 1846-2.</w:t>
            </w:r>
          </w:p>
          <w:p w:rsidR="003554AD" w:rsidRPr="001E5258" w:rsidRDefault="003554AD" w:rsidP="002311D5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Pojazd musi posiadać najpóźniej w dniu odbioru techniczno- jakościowego ważne świadectwo dopuszczenia zgodnie z rozporządzeniem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zmianami). </w:t>
            </w:r>
          </w:p>
          <w:p w:rsidR="00730CDC" w:rsidRPr="00730CDC" w:rsidRDefault="003554AD" w:rsidP="002311D5">
            <w:pPr>
              <w:pStyle w:val="Tekstpodstawowywcity2"/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Podwozie pojazdu musi posiadać aktualne świadectwo homologacji typu lub świadectwo zgodności WE zgodnie z  odrębnymi przepisami krajowymi odnoszącymi się do prawa o ruchu drogowym. W przypadku, gdy przekroczone zo</w:t>
            </w:r>
            <w:r w:rsidRPr="001E5258">
              <w:rPr>
                <w:spacing w:val="-1"/>
                <w:sz w:val="18"/>
                <w:szCs w:val="18"/>
              </w:rPr>
              <w:softHyphen/>
              <w:t>staną warunki zabudowy określone przez producenta podwozia  wymagane jest świadectwo homologacji typu pojazdu kompletnego oraz zgoda producenta podwozia na wykonanie zabudowy. Urządzenia i podzespoły zamontowane w pojeździe powinny spełniać wymagania odrębnych przepis</w:t>
            </w:r>
            <w:r>
              <w:rPr>
                <w:spacing w:val="-1"/>
                <w:sz w:val="18"/>
                <w:szCs w:val="18"/>
              </w:rPr>
              <w:t>ów krajowych i/lub międzynarodo</w:t>
            </w:r>
            <w:r w:rsidRPr="001E5258">
              <w:rPr>
                <w:spacing w:val="-1"/>
                <w:sz w:val="18"/>
                <w:szCs w:val="18"/>
              </w:rPr>
              <w:t>wych.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4AD" w:rsidRPr="001E5258" w:rsidRDefault="003554AD" w:rsidP="002311D5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Podwozie samochodu kategorii drugiej, (uterenowiony), napęd stały  4x4 z blokadami mechanizmów różnicowych osi przedniej i tylnej oraz blokadą międzyosiową. Skrzynia biegów mechaniczna manualna. Ilość przełożeń nie więcej niż 10 do przodu. </w:t>
            </w:r>
          </w:p>
          <w:p w:rsidR="003554AD" w:rsidRPr="001E5258" w:rsidRDefault="003554AD" w:rsidP="002311D5">
            <w:pPr>
              <w:shd w:val="clear" w:color="auto" w:fill="FFFFFF"/>
              <w:spacing w:line="250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Maksymalna masa rzeczywista samochodu gotowego do akcji ratowniczo- gaśniczej, rozkład tej masy na osie oraz masa przypadająca na każdą z osi nie może przekraczać wartości określonych przez producenta pojazdu lub podwozia bazowego. </w:t>
            </w:r>
          </w:p>
          <w:p w:rsidR="003554AD" w:rsidRPr="00CD3D7A" w:rsidRDefault="003554AD" w:rsidP="002311D5">
            <w:pPr>
              <w:pStyle w:val="Tekstpodstawowy3"/>
              <w:ind w:right="-4"/>
              <w:rPr>
                <w:b/>
                <w:sz w:val="18"/>
                <w:szCs w:val="18"/>
              </w:rPr>
            </w:pPr>
            <w:r w:rsidRPr="001E5258">
              <w:rPr>
                <w:b/>
                <w:spacing w:val="-1"/>
                <w:sz w:val="18"/>
                <w:szCs w:val="18"/>
                <w:lang w:eastAsia="ar-SA"/>
              </w:rPr>
              <w:t>Dopuszczalna różnica w obciążeniu strony lewej i prawej nie może przekroczyć 3%.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urządzenie sygnalizacyjno- ostrzegawcze, akustyczne i świetlne wykonane w technologii LED. Na dachu belka zespolona tzw. „niska” , zabezpieczona przed przypadkowym uszkodzeniem, z tyłu min. jedna lampa umieszczona na dachu lub tylnej ścianie zabudowy.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Dodatkowe 2 lampy sygnalizacyjne niebieskie umieszczone na pokrywie silnika, na wysokości lusterek wstecznych samochodu osobowego oraz po 2 na każdym boku zabudowy w górnej części, </w:t>
            </w:r>
            <w:r w:rsidRPr="001E5258">
              <w:rPr>
                <w:spacing w:val="-1"/>
                <w:sz w:val="18"/>
                <w:szCs w:val="18"/>
              </w:rPr>
              <w:lastRenderedPageBreak/>
              <w:t>za kabiną pojazdu.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 tyłu pojazdu zamontowana „fala świetlna” LED z manipulatorem umieszczonym w kabinie oraz przedziale autopompy.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dodatkowy sygnał pneumatyczny włączany włącznikiem umieszczonym w kabinie w miejscu łatwo dostępnym dla kierowcy i dowódcy.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Wszystkie lampy,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1E5258">
              <w:rPr>
                <w:spacing w:val="-1"/>
                <w:sz w:val="18"/>
                <w:szCs w:val="18"/>
              </w:rPr>
              <w:t>trąbki pneumatyczne, maszt oświetleniowy, zabezpieczone przez uszkodzeniem.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radiotelefon przewoźny. W przedziale autopompy dodatkowy manipulator współpracujący z radiotelefonem przewoźnym, umożliwiający prowadzenie korespondencji, zabezpieczony przed działaniem wody, wyposażony w wyłącznik.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Sygnał dźwiękowy i świetlny włączonego biegu wstecznego, jako sygnał świetlny akceptuje się światło cofania.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Dodatkowo zamontowana kamera cofania z kolorowym wyświetlaczem 7” zamontowanym w kabinie kierowcy.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Dodatkowo zamontowane po dwie lampy cofania przy lusterkach bocznych oraz przy stopniach wejściowych, skierowane do tyłu, uruchamiane automatycznie przy włączeniu biegu wstecznego.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dodatkowo w: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mocowanie reflektora pogorzeliskowego z gniazdem zasilającym,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światła LED do jazdy dziennej wbudowane w reflektory główne pojazdu,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fabrycznie montowane przednie światła przeciwmgielne wpuszczone w zderzak (nie wystające poza obrys zderzaka),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zewnętrzną i wewnętrzną przysłonę przeciwsłoneczną.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Podwozie samochodu z silnikiem o zapłonie samoczynnym, o mocy min. 400 KM spełniający w dniu odbioru obowiązujące przepisy o ruchu drogowym - min. Euro 6.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Maksymalny moment obrotowy nie mniejszy niż 2000 Nm.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Silnik samochodu przystosowany do zasilania biopaliwami zgodnie z Normą PN-EN 14214 co winno być potwierdzone stosownym dokumentem producenta podwozia, załączonym do oferty.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Maksymalna wysokość całkowita pojazdu nie przekraczająca 3200 mm (wysokość nie uwzględnia mocowań dla drabiny typu D10W – drabinę dostarcza Wykonawca) 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Wykonanie nadwozia z podestami umożliwiającymi łatwy dostęp do sprzętu.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Kabina wyposażona w: 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fabryczny układ klimatyzacji,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indywidualne oświetlenie nad siedzeniem dowódcy,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mocowania na aparaty powietrzne przewożone w kabinie wg rozwiązania technicznego umożliwiającego: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ind w:left="395" w:hanging="142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jednoczesne przewożenie aparatów z butlami różnego rodzaju,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ind w:left="395" w:hanging="142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lastRenderedPageBreak/>
              <w:t>- odblokowanie każdego aparatu indywidualnie (dźwignia odblokowująca o konstrukcji uniemożliwiającej przypadkowe odblokowanie np. w czasie hamowania pojazdu),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uchwyty do trzymania się podczas jazdy dla tylnego przedziału załogi,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dodatkowy schowek na sprzęt w skrzyni pod fotelami załogi,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niezależny układ ogrzewania i wentylacji, umożliwiający ogrzewanie kabiny przy wyłączonym silniku,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lusterka boczne zewnętrzne główne elektrycznie sterowane i ogrzewane,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lusterko rampowe – krawężnikowe z prawej strony,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lusterko rampowe dojazdowe, przednie,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- szyby boczne opuszczane i podnoszone elektrycznie,   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reflektor ręczny do oświetlenia numerów budynków,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główny włącznik/wyłącznik oświetlenia skrytek,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sygnalizacja otwarcia skrytek sprzętowych i podestów,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sygnalizacja wysunięcia masztu oświetleniowego,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fotel kierowcy z zawieszeniem pneumatycznym i regulacją  wysokości, odległości i pochylenia oparcia,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fotele wyposażone w bezwładnościowe pasy bezpieczeństwa   i zagłówki,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siedzenia pokryte materiałem łatwym w utrzymaniu w czystości, nienasiąkliwym, odpornym na ścieranie i antypoślizgowym.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dodatkowa półka na podręczny sprzęt załogi, zamontowana w przedziale brygadowym za przednim rzędem foteli.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 kabinie wyprowadzona instalacja i wykonany podest przystosowany do montażu ładowarek radiotelefonów i latarek.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kabina wyposażona w 4 radiotelefony nasobne typu Motorola DP4600 lub równoważne i kompatybilne z posiadanymi w jednostce OSP, z ładowarkami samochodowymi z możliwością rozłączenia ładowania.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kabina wyposażona w 4 latarki kątowe LED typu Survivor lub równoważne i kompatybilne z posiadanymi w jednostce OSP, z ładowarkami samochodowymi z możliwością rozłączenia ładowania.</w:t>
            </w:r>
          </w:p>
          <w:p w:rsidR="003554AD" w:rsidRDefault="003554AD" w:rsidP="002311D5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E5258">
              <w:rPr>
                <w:spacing w:val="-1"/>
                <w:sz w:val="18"/>
                <w:szCs w:val="18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 się w zasięgu kierowcy, po lewej stronie pojazdu.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Gniazdo z wtyczką do ładowania akumulatorów ze źródła zewnętrznego, umieszczone po lewej stronie (sygnalizacja podłączenia do zewnętrznego źródła w kabinie kierowcy).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Samochód musi być wyposażony w gniazdo do zasilania układu pneumatycznego pojazdu z zewnętrznego źródła, przyłącze umieszczone po lewej stronie.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Kolorystyka: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lastRenderedPageBreak/>
              <w:t>- nadwozie - RAL 3000,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pokrywa silnika - czerwona lub w odcieniach szarości,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błotniki, zderzaki i schody– białe RAL 9010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drzwi żaluzjowe - naturalny kolor aluminium,</w:t>
            </w:r>
          </w:p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- podwozie - czarne (dopuszcza się kolor szary, w przypadku gdy jest to fabryczny kolor producenta podwozia)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30CDC" w:rsidRPr="00730CDC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Wykonywanie codziennych czynności obsługowych silnika musi być możliwe bez podnoszenia kabiny.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150 litrów.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Zawieszenie mechaniczne wzmocnione, musi być dostosowane do maksymalnej masy rzeczywistej pojazdu.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Układ hamulcowy pojazdu z hamulcami bębnowymi obu osi, wyposażony w system ABS. Hamulec postojowy działający na koła obu osi.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Ogumienie z bieżnikiem uniwersalnym dostosowanym do różnych warunków atmosferycznych. Na osi przedniej ogumienie pojedyncze, na osi tylnej koła bliźniacze.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Wartości nominalne ciśnienia w ogumieniu trwale umieszczone nad kołami.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Na wyposażeniu pojazdu pełnowymiarowe koło zapasowe bez stałego mocowania na pojeździe.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wyposażony w urządzenie (zaczep holowniczy) umożliwiający odholowanie pojazdu. Urządzenie powinno mieć taką wytrzymałość, aby umożliwić holowanie po drodze pojazdu obciążonego masą całkowitą maksymalną oraz wytrzymywać siłę zarówno ciągnącą jak i ściskającą.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Pojazd należy wyposażyć w zestaw narzędzi przewidziany przez producenta podwozia, podnośnik hydrauliczny oraz narzędzia umożliwiające wymianę koła pojazdu, dwa kliny pod koła, przewód 10m z manometrem do pompowania kół, trójkąt ostrzegawczy, apteczka samochodowa, gaśnica proszkowa 2 kg.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b/>
                <w:bCs/>
                <w:sz w:val="18"/>
                <w:szCs w:val="18"/>
              </w:rPr>
              <w:t>Zabudowa pożarnicza: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Zabudowa wykonana wyłącznie z użyciem materiałów nierdzewnych (stal nierdzewna, aluminium), dopuszcza się elementy wykończeniowe wykonane z materiałów kompozytowych. Wewnętrzne poszycia skrytek wyłożone anodowaną blachą aluminiową, natomiast podłoga skrytek wykończona gładką blachą kwasoodporną bez progu, ze spadkiem umożliwiającym odprowadzenie wody na zewnątrz.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Aluminiowy system mocowania półek w skrytkach sprzętowych musi umożliwiać płynną regulację wysokości.</w:t>
            </w:r>
          </w:p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Między kabiną i zabudową zamontowana osłona maskująca. 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Dach zabudowy w formie podestu roboczego, w wykonaniu antypoślizgowym, z zamontowanymi uchwytami na sprzęt. Z tyłu pojazdu aluminiowa drabinka do wejścia na dach, stopnie w wykonaniu antypoślizgowym. W pobliżu górnej części drabiny zamontowane uchwyt (y) ułatwiające wchodzenie.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Dodatkowo na dachu pojazdu zamontowana skrzynia na sprzęt, wykonana z blachy aluminiowej ryflowanej. Skrzynia musi posiadać oświetlenie LED. Wymiary skrzyni do ustalenia na etapie realizacji zamówienia. Dodatkowo na dachu wykonane mocowania dla drabiny typu D10W oraz 2 przęseł drabiny nasadkowej.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>Powierzchnie platform, podestu roboczego i podłogi kabiny w wykonaniu antypoślizgowym.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4AD" w:rsidRPr="001E5258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5258">
              <w:rPr>
                <w:spacing w:val="-1"/>
                <w:sz w:val="18"/>
                <w:szCs w:val="18"/>
              </w:rPr>
              <w:t xml:space="preserve"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 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Skrytki na sprzęt i przedział autopompy muszą być wyposażone  w oświetlenie włączane automatycznie po otwarciu skrytki. Oświetlenie skrytek w technologii LED- listwy LED po obu stronach skrytki na całej wysokości prowadnicy żaluzji. Główny wyłącznik oświetlenia skrytek powinien być zainstalowany w kabinie kierowcy.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powinien posiadać oświetlenie pola pracy w technologii LED (min. 3 szt. na każdą stronę + 1 z tyłu zabudowy) wokół samochodu zapewniające oświetlenie w warunkach słabej widoczności oraz oświetlenie powierzchni dachu roboczego.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Szuflady, podesty i tace oraz inne elementy pojazdu wystające w pozycji otwartej powyżej 250 mm poza obrys pojazdu muszą posiadać oznakowanie ostrzegawcze.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Dodatkowo pojazd wyposażony w min. 3 szt. wysuwanych szuflad na cięższy sprzęt. Miejsce montażu do uzgodnienia na etapie produkcji pojazdu.</w:t>
            </w:r>
          </w:p>
        </w:tc>
      </w:tr>
      <w:tr w:rsidR="003554AD" w:rsidTr="002311D5"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Konstrukcja skrytek musi zapewniać odprowadzenie wody z ich  wnętrza.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wody o pojemności 5 m3 (±3%) wykonany z materiałów kompozytowych. Zbiornik musi być wyposażony w   oprzyrządowanie umożliwiające jego bezpieczną eksploatację, z układem zabezpieczającym przed wypływem wody w czasie jazdy. Zbiornik powinien być wyposażony w falochrony i posiadać właz rewizyjny.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środka pianotwórczego o pojemności min. 10% pojemności zbiornika wody. Zbiornik musi być wyposażony w oprzyrządowanie zapewniające jego bezpieczną eksploatację.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 górnej części powinien znajdować się zamykany wlew do grawitacyjnego napełniania zbiornika z dachu pojazdu.  Napełnianie zbiornika środkiem pianotwórczym powinno być możliwe także z poziomu terenu. 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napełniony środkiem pianotwórczym. Zbiornik napełniony środkiem pianotwórczym FOMIN S3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Autopompa zlokalizowana z tyłu pojazdu w obudowanym przedziale, zamykanym drzwiami żaluzjowymi. 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pożarnicza dwuzakresowa o wydajności min. 3200 dm3/min przy ciśnieniu 0,8 MPa i głębokości ssania 1,5 m oraz dla wysokiego ciśnienia min. 250 dm3/min przy ciśnieniu 4 MPa.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działko wodno- pianowe klasy min. DWP32 o regulowanej wydajności, podnoszone hydraulicznie na czas pracy. Działko wysuwane do pozycji  roboczej, tak aby w pozycji transportowej nie zwiększało maksymalnej wysokości pojazdu. Zakres obrotu działka w płaszczyźnie poziomej wynoszący 360°, a w płaszczyźnie pionowej – od kąta ujemnego limitowanego obrysem pojazdu do +75°. Z pozycji obsługującego działko musi istnieć możliwość włączania zaworu działka oraz regulacji obrotów pompy.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Samochód musi być wyposażony w linię szybkiego natarcia o długości węża minimum 60 m na zwijadle, zakończoną prądownicą wodno- pianową o regulowanej wydajności, do podawania </w:t>
            </w:r>
            <w:r w:rsidRPr="00173A79">
              <w:rPr>
                <w:spacing w:val="-1"/>
                <w:sz w:val="18"/>
                <w:szCs w:val="18"/>
              </w:rPr>
              <w:lastRenderedPageBreak/>
              <w:t>środków gaśniczych prądem zwartym i rozproszonym.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Linia szybkiego natarcia musi umożliwiać podawanie wody lub piany bez względu na stopień rozwinięcia węża. Dodatkowo musi istnieć możliwość przedmuchu zwijadła za pomocą sprężonego powietrza z układu pneumatycznego pojazdu.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umożliwiać podanie wody i wodnego roztworu środka pianotwórczego do minimum: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czterech nasad tłocznych 75,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wysokociśnieniowej linii szybkiego natarcia,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działka wodno- pianowego,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instalacji zraszaczowej.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umożliwiać podanie wody do zbiornika samochodu.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Autopompa musi być wyposażona w urządzenie odpowietrzające umożliwiające zassanie wody: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z głębokości 1,5 m w czasie do 30 s.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z głębokości 7,5 m w czasie do 60 s.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Na pulpicie sterowniczym pompy zainstalowanym w przedziale autopompy muszą znajdować się co najmniej następujące urządzenia kontrolno- sterownicze: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urządzenia kontrolno- pomiarowe pompy, w tym min. manometr, manowakuometr,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wyłącznik awaryjny silnika pojazdu,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wody w zbiorniku samochodu,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środka pianotwórczego w zbiorniku,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lub kontrolka temperatury cieczy chłodzącej silnik lub wskaźnik awarii silnika,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regulator prędkości obrotowej silnika napędzającego pompę.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Ponadto na stanowisku obsługi musi znajdować się schemat układu wodno- pianowego oraz oznaczenie zaworów.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  wszystkich zaworów, w tym również odwadniających, powinny być łatwo dostępne, a ich obsługa powinna być możliwa bez wchodzenia pod samochód.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 kabinie kierowcy powinny znajdować się następujące urządzenia kontrolno-pomiarowe: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wskaźniki ciśnienia,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wody w zbiorniku,</w:t>
            </w:r>
          </w:p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- wskaźnik poziomu środka pianotwórczego.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Zbiornik wody musi być wyposażony w min. jedną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Układ wodno- pianowy wyposażony w automatyczny dozownik środka pianotwórczego zapewniający uzyskiwanie stężeń 3% i 6% (tolerancja ± 0,5%) w pełnym zakresie wydajności pompy. 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Wszystkie elementy układu wodno-pianowego muszą być odporne na korozję i działanie dopuszczonych do stosowania środków pianotwórczych i modyfikatorów. Nasady tłoczne i ssawne powinny być zabezpieczone przed zamarzaniem.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Konstrukcja układu wodno-pianowego powinna umożliwić jego całkowite odwodnienie przy użyciu co najwyżej dwóch zaworów.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Przedział autopompy musi być wyposażony w autonomiczny system ogrzewania działający niezależnie od pracy silnika,  skutecznie zabezpieczający układ wodno-pianowy przed  zamarzaniem w temperaturze do „- 25ºC”. Dodatkowo autopompa wyposażona w wewnętrzne kanały grzewcze, umożliwiające ogrzewanie płaszczem wodnym z układu chłodzenia silnika pojazdu, z możliwością wyłączenia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min. 4 zraszacze o wydajności 50-100 dm3/ min przy ciś. 8 bar, zasilane autopompą. Dwa zraszacze zamontowane przed przednią osią, kolejne dwa po bokach pojazdu. Ponadto instalacja powinna być wyposażona w zawory odcinające, uruchamiane z kabiny kierowcy.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Samochód wyposażony w sterowany za pomocą pilota przewodowego pneumatyczny maszt oświetleniowy o łącznej wielkości strumienia świetlnego min. 30.000 lm. Najaśnice LED zasilane z instalacji elektrycznej samochodu. Wysokość masztu po rozłożeniu od podłoża, na którym stoi pojazd, do oprawy czołowej reflektorów ustawionych poziomo nie mniejsza niż 6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wyposażony w wyciągarkę o napędzie elektrycznym zamontowaną z przodu pojazdu o uciągu min. 8000 kg, z liną długości min. 25m. Wyciągarka wyposażona w układ sterowania, rolkową prowadnicę liny oraz osłonę kompozytową.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W pojeździe zapewnione miejsce do przewozu oraz wykonane i zamontowane uchwyty do zamocowania wyposażenia dla przyszłego użytkownika pojazdu.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3554AD">
            <w:pPr>
              <w:numPr>
                <w:ilvl w:val="0"/>
                <w:numId w:val="39"/>
              </w:numPr>
              <w:suppressAutoHyphens/>
              <w:snapToGrid w:val="0"/>
              <w:ind w:left="114" w:hanging="57"/>
              <w:jc w:val="right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  <w:p w:rsidR="003554AD" w:rsidRPr="00173A79" w:rsidRDefault="003554AD" w:rsidP="002311D5">
            <w:pPr>
              <w:rPr>
                <w:sz w:val="18"/>
                <w:szCs w:val="18"/>
              </w:rPr>
            </w:pP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b/>
                <w:spacing w:val="-1"/>
                <w:sz w:val="18"/>
                <w:szCs w:val="18"/>
              </w:rPr>
              <w:t xml:space="preserve">Dodatkowe wyposażenie pożarnicze 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Aparaty powietrzne AUER AirGo Pro (Butla Stalowa 6l, 300 bar) i maski UltraElite Maxx kompatybilne ze stosowanymi przez użytkownika, wyposażone w sygnalizatory bezruchu + temperatury  - lub równoważne – </w:t>
            </w:r>
            <w:r w:rsidRPr="00173A79">
              <w:rPr>
                <w:b/>
                <w:spacing w:val="-1"/>
                <w:sz w:val="18"/>
                <w:szCs w:val="18"/>
              </w:rPr>
              <w:t>kpl. 2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Szelki bezpieczeństwa </w:t>
            </w:r>
            <w:r w:rsidRPr="00173A79">
              <w:rPr>
                <w:b/>
                <w:spacing w:val="-1"/>
                <w:sz w:val="18"/>
                <w:szCs w:val="18"/>
              </w:rPr>
              <w:t>szt.2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Kalosze do brodzenia w wysokiej wodzie - </w:t>
            </w:r>
            <w:r w:rsidRPr="00173A79">
              <w:rPr>
                <w:b/>
                <w:spacing w:val="-1"/>
                <w:sz w:val="18"/>
                <w:szCs w:val="18"/>
              </w:rPr>
              <w:t>par.2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Pompa pływająca o wydajności min. 1200 l. - </w:t>
            </w:r>
            <w:r w:rsidRPr="00173A79">
              <w:rPr>
                <w:b/>
                <w:spacing w:val="-1"/>
                <w:sz w:val="18"/>
                <w:szCs w:val="18"/>
              </w:rPr>
              <w:t>szt.1</w:t>
            </w:r>
            <w:r w:rsidRPr="00173A79">
              <w:rPr>
                <w:spacing w:val="-1"/>
                <w:sz w:val="18"/>
                <w:szCs w:val="18"/>
              </w:rPr>
              <w:t xml:space="preserve"> 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tłoczny W-75-20 - </w:t>
            </w:r>
            <w:r w:rsidRPr="00173A79">
              <w:rPr>
                <w:b/>
                <w:spacing w:val="-1"/>
                <w:sz w:val="18"/>
                <w:szCs w:val="18"/>
              </w:rPr>
              <w:t>10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tłoczny W-52-20 - </w:t>
            </w:r>
            <w:r w:rsidRPr="00173A79">
              <w:rPr>
                <w:b/>
                <w:spacing w:val="-1"/>
                <w:sz w:val="18"/>
                <w:szCs w:val="18"/>
              </w:rPr>
              <w:t>10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Pożarniczy wąż ssawny 110 / 2500 </w:t>
            </w:r>
            <w:r w:rsidRPr="00173A79">
              <w:rPr>
                <w:b/>
                <w:spacing w:val="-1"/>
                <w:sz w:val="18"/>
                <w:szCs w:val="18"/>
              </w:rPr>
              <w:t>–4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Przełącznik 110/75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Przełącznik 75/52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Zbieracz 2x75/110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Rozdzielacz kulowy 75/52- 75-52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Smok ssawny 110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Zasysacz liniowy z wężykiem co najmniej typu Z-4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Kurtyna wodna ZW-75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Prądownica wodna Typu Turbo PWT52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Prądownica pianowa PP4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Wytwornica pianowa WP 4/75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Stojak hydrantowy 80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hydrantu podziemnego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hydrantów nadziemnych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łączników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Klucz do pokryw kanałowych AWG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Pływak z zatrzaśnikiem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Mostek przejazdowy 52x75x52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Siodełko wężowe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Drabina pożarnicza aluminiowa, wysuwna, dwuprzęsłowa z drążkami podporowymi 10 m. -</w:t>
            </w:r>
            <w:r w:rsidRPr="00173A79">
              <w:rPr>
                <w:b/>
                <w:spacing w:val="-1"/>
                <w:sz w:val="18"/>
                <w:szCs w:val="18"/>
              </w:rPr>
              <w:t>1.szt.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Drabina nasadkowa </w:t>
            </w:r>
            <w:r w:rsidRPr="00173A79">
              <w:rPr>
                <w:b/>
                <w:spacing w:val="-1"/>
                <w:sz w:val="18"/>
                <w:szCs w:val="18"/>
              </w:rPr>
              <w:t>2 przęsła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Linka strażacka ratownicza ZL20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Pilarka ratownicza z zapasową prowadnicą i łańcuchem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Bosak podręczny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Wielofunkcyjne narzędzie ratownicze ( łom wielofunkcyjny)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Norzyce do ciecia prętów o średnicy min.10 mm.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Koc gaśniczy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Agregat prądotwórczy trójfazowy o mocy min. 5 kVA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Przedłużacz elektryczny 230V o długości min.20m na zwijadle z rozdzielaczem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Przedłużacz elektryczny 400/230V o długości min.20m na zwijadle z rozdzielaczem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Zestaw ratownictwa medycznego PSP R1 z deską i szynami Kramera – </w:t>
            </w:r>
            <w:r w:rsidRPr="00173A79">
              <w:rPr>
                <w:b/>
                <w:spacing w:val="-1"/>
                <w:sz w:val="18"/>
                <w:szCs w:val="18"/>
              </w:rPr>
              <w:t>1 kpl.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Parawan 4 segmentowy – </w:t>
            </w:r>
            <w:r w:rsidRPr="00173A79">
              <w:rPr>
                <w:b/>
                <w:spacing w:val="-1"/>
                <w:sz w:val="18"/>
                <w:szCs w:val="18"/>
              </w:rPr>
              <w:t>1 szt..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Rzutka ratownicza z linką  25m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Drabina słupkowa D 3.1–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Wentylator oddymiający – </w:t>
            </w:r>
            <w:r w:rsidRPr="00173A79">
              <w:rPr>
                <w:b/>
                <w:spacing w:val="-1"/>
                <w:sz w:val="18"/>
                <w:szCs w:val="18"/>
              </w:rPr>
              <w:t>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Tarcza sygnałowa do kierowania ruchem pooświetlana – </w:t>
            </w:r>
            <w:r w:rsidRPr="00173A79">
              <w:rPr>
                <w:b/>
                <w:spacing w:val="-1"/>
                <w:sz w:val="18"/>
                <w:szCs w:val="18"/>
              </w:rPr>
              <w:t>2 szt.</w:t>
            </w:r>
            <w:r w:rsidRPr="00173A79">
              <w:rPr>
                <w:spacing w:val="-1"/>
                <w:sz w:val="18"/>
                <w:szCs w:val="18"/>
              </w:rPr>
              <w:t xml:space="preserve"> 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 xml:space="preserve">Detektor prądu przemiennego – </w:t>
            </w:r>
            <w:r w:rsidRPr="00173A79">
              <w:rPr>
                <w:b/>
                <w:spacing w:val="-1"/>
                <w:sz w:val="18"/>
                <w:szCs w:val="18"/>
              </w:rPr>
              <w:t>1 szt</w:t>
            </w:r>
            <w:r>
              <w:rPr>
                <w:b/>
                <w:spacing w:val="-1"/>
                <w:sz w:val="18"/>
                <w:szCs w:val="18"/>
              </w:rPr>
              <w:t>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Agregat do narzędzi hydraulicznych V 50</w:t>
            </w:r>
            <w:r w:rsidRPr="00173A79">
              <w:rPr>
                <w:b/>
                <w:spacing w:val="-1"/>
                <w:sz w:val="18"/>
                <w:szCs w:val="18"/>
              </w:rPr>
              <w:t xml:space="preserve"> – </w:t>
            </w:r>
            <w:r w:rsidRPr="00173A79">
              <w:rPr>
                <w:spacing w:val="-1"/>
                <w:sz w:val="18"/>
                <w:szCs w:val="18"/>
              </w:rPr>
              <w:t>lub równoważne i kompatybilne z posiadanymi w jednostce OSP</w:t>
            </w:r>
            <w:r w:rsidRPr="00173A79">
              <w:rPr>
                <w:b/>
                <w:spacing w:val="-1"/>
                <w:sz w:val="18"/>
                <w:szCs w:val="18"/>
              </w:rPr>
              <w:t>- 1 szt.</w:t>
            </w:r>
          </w:p>
        </w:tc>
      </w:tr>
      <w:tr w:rsidR="003554AD" w:rsidTr="002311D5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54AD" w:rsidRDefault="003554AD" w:rsidP="002311D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4AD" w:rsidRPr="00173A79" w:rsidRDefault="003554AD" w:rsidP="002311D5">
            <w:pPr>
              <w:rPr>
                <w:b/>
                <w:spacing w:val="-1"/>
                <w:sz w:val="18"/>
                <w:szCs w:val="18"/>
              </w:rPr>
            </w:pPr>
            <w:r w:rsidRPr="00173A79">
              <w:rPr>
                <w:spacing w:val="-1"/>
                <w:sz w:val="18"/>
                <w:szCs w:val="18"/>
              </w:rPr>
              <w:t>Rozpieracz ramieniowy SP 49</w:t>
            </w:r>
            <w:r w:rsidRPr="00173A7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3A79">
              <w:rPr>
                <w:spacing w:val="-1"/>
                <w:sz w:val="18"/>
                <w:szCs w:val="18"/>
              </w:rPr>
              <w:t>– lub równoważne i kompatybilne z posiadanymi w jednostce OSP</w:t>
            </w:r>
            <w:r w:rsidRPr="00173A79">
              <w:rPr>
                <w:b/>
                <w:spacing w:val="-1"/>
                <w:sz w:val="18"/>
                <w:szCs w:val="18"/>
              </w:rPr>
              <w:t>- 1szt.</w:t>
            </w:r>
          </w:p>
        </w:tc>
      </w:tr>
    </w:tbl>
    <w:p w:rsidR="006D7CFA" w:rsidRPr="003554AD" w:rsidRDefault="003554AD" w:rsidP="003554AD">
      <w:pPr>
        <w:rPr>
          <w:i/>
          <w:sz w:val="20"/>
          <w:szCs w:val="20"/>
        </w:rPr>
      </w:pPr>
      <w:r w:rsidRPr="00857DAD">
        <w:rPr>
          <w:i/>
          <w:sz w:val="20"/>
          <w:szCs w:val="20"/>
        </w:rPr>
        <w:t xml:space="preserve"> </w:t>
      </w:r>
    </w:p>
    <w:sectPr w:rsidR="006D7CFA" w:rsidRPr="003554AD" w:rsidSect="003554AD">
      <w:headerReference w:type="default" r:id="rId8"/>
      <w:footerReference w:type="default" r:id="rId9"/>
      <w:type w:val="oddPage"/>
      <w:pgSz w:w="16838" w:h="11906" w:orient="landscape" w:code="9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04" w:rsidRDefault="00323C04">
      <w:r>
        <w:separator/>
      </w:r>
    </w:p>
  </w:endnote>
  <w:endnote w:type="continuationSeparator" w:id="0">
    <w:p w:rsidR="00323C04" w:rsidRDefault="0032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3590"/>
      <w:gridCol w:w="715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726AD6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730CDC">
            <w:rPr>
              <w:noProof/>
              <w:color w:val="FFFFFF"/>
            </w:rPr>
            <w:t>7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04" w:rsidRDefault="00323C04">
      <w:r>
        <w:separator/>
      </w:r>
    </w:p>
  </w:footnote>
  <w:footnote w:type="continuationSeparator" w:id="0">
    <w:p w:rsidR="00323C04" w:rsidRDefault="0032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2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23C04"/>
    <w:rsid w:val="00337C75"/>
    <w:rsid w:val="0034044B"/>
    <w:rsid w:val="0034303E"/>
    <w:rsid w:val="00347D34"/>
    <w:rsid w:val="0035111A"/>
    <w:rsid w:val="003554AD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09B2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325E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D7CFA"/>
    <w:rsid w:val="006E39D3"/>
    <w:rsid w:val="006E68F1"/>
    <w:rsid w:val="006F5C43"/>
    <w:rsid w:val="00701230"/>
    <w:rsid w:val="00711530"/>
    <w:rsid w:val="00716C60"/>
    <w:rsid w:val="00726AD6"/>
    <w:rsid w:val="00726DC4"/>
    <w:rsid w:val="00730CDC"/>
    <w:rsid w:val="00735BEE"/>
    <w:rsid w:val="00766E6C"/>
    <w:rsid w:val="00790D6B"/>
    <w:rsid w:val="007A535A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A25F5"/>
    <w:rsid w:val="00BB0943"/>
    <w:rsid w:val="00BB36F6"/>
    <w:rsid w:val="00BB6E32"/>
    <w:rsid w:val="00BC012C"/>
    <w:rsid w:val="00BC5710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651C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1BD4-D299-450B-859A-ECAE9419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3553</Words>
  <Characters>21320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24824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3</cp:revision>
  <cp:lastPrinted>2017-08-09T12:57:00Z</cp:lastPrinted>
  <dcterms:created xsi:type="dcterms:W3CDTF">2017-08-16T11:56:00Z</dcterms:created>
  <dcterms:modified xsi:type="dcterms:W3CDTF">2017-08-16T12:00:00Z</dcterms:modified>
</cp:coreProperties>
</file>