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17A4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>U C H W A Ł A   Nr    XII/74/19</w:t>
      </w:r>
    </w:p>
    <w:p w14:paraId="6CEDB0BD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75A22B68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>z dnia 29 listopada 2019 r.</w:t>
      </w:r>
    </w:p>
    <w:p w14:paraId="69683295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5D697D6E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32FDD61B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0B87EC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6A58D5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F3E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 ze zm.) oraz art. 226, art. 227, art. 228, art. 229, art. 230 ust. 6  i art. 243 ustawy z dnia 27 sierpnia 2009 r. o finansach publicznych (Dz.U. z 2019 r. poz. 869 ze zm.)  </w:t>
      </w:r>
      <w:r w:rsidRPr="00E14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72DE8CA9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C732D1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F56CD8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14F3E">
        <w:rPr>
          <w:rFonts w:ascii="Times New Roman" w:hAnsi="Times New Roman" w:cs="Times New Roman"/>
          <w:sz w:val="24"/>
          <w:szCs w:val="24"/>
        </w:rPr>
        <w:t xml:space="preserve">W uchwale Nr III/20/18 Rady Gminy Gruta z dnia 27.12.2018 r. w sprawie uchwalenia Wieloletniej Prognozy Finansowej Gminy Gruta na lata 2019-2030  (zmiany: Uchwała Nr IV/28/19 Rady Gminy Gruta z dnia 29.01.2019 r., Uchwała Nr V/32/19 Rady Gminy Gruta z dnia 26.02.2019 r., Zarządzenie Nr 30/2019 Wójta Gminy Gruta z dnia 14.03.2019 r., Uchwała Nr VI/39/19 Rady Gminy Gruta z dnia 29.03.2019 r., Zarządzenie Nr 41/2019 Wójta Gminy Gruta z dnia 17.04.2019 r., Uchwała Nr VII/42/19 Rady Gminy Gruta z dnia 30.04.2019 r., Uchwała Nr IX/50/19 Rady Gminy Gruta z dnia 27.06.2019 r., Uchwała Nr X/61/19 Rady Gminy Gruta z dnia 29.08.2019 r., Uchwała Nr XI/68/19 Rady Gminy Gruta z dnia 29.10.2019 r.) wprowadza się następujące zmiany: </w:t>
      </w:r>
    </w:p>
    <w:p w14:paraId="545D6A0B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14:paraId="1EB9FE17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14:paraId="605586E1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sz w:val="24"/>
          <w:szCs w:val="24"/>
        </w:rPr>
        <w:tab/>
      </w:r>
    </w:p>
    <w:p w14:paraId="4C244D5D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sz w:val="24"/>
          <w:szCs w:val="24"/>
        </w:rPr>
        <w:tab/>
      </w:r>
    </w:p>
    <w:p w14:paraId="27B8CAA5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742D7F5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14F3E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5A63BECC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F9B8E6C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E14F3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DB397CE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D39A1E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CC5A66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FB4CB4D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4F3E">
        <w:rPr>
          <w:rFonts w:ascii="Times New Roman" w:hAnsi="Times New Roman" w:cs="Times New Roman"/>
          <w:sz w:val="24"/>
          <w:szCs w:val="24"/>
        </w:rPr>
        <w:tab/>
      </w:r>
    </w:p>
    <w:p w14:paraId="05E8376C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8A2D3D2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9A4F1DC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7DF6535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03A6564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B507D94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9EE5ED8" w14:textId="23F95FFA" w:rsid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0E3B89D" w14:textId="2B2E1AC1" w:rsidR="00C5688B" w:rsidRDefault="00C5688B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2C52F0A" w14:textId="01AA4CB5" w:rsidR="00C5688B" w:rsidRDefault="00C5688B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4D6676" w14:textId="77777777" w:rsidR="00C5688B" w:rsidRPr="00E14F3E" w:rsidRDefault="00C5688B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8B97AA1" w14:textId="77777777" w:rsidR="00E14F3E" w:rsidRPr="00E14F3E" w:rsidRDefault="00E14F3E" w:rsidP="00E14F3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BF274F" w14:textId="77777777" w:rsidR="00C5688B" w:rsidRPr="00C5688B" w:rsidRDefault="00C5688B" w:rsidP="00C5688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5553D2C5" w14:textId="77777777" w:rsidR="00C5688B" w:rsidRPr="00C5688B" w:rsidRDefault="00C5688B" w:rsidP="00C5688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C9BDF0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886904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31AD92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2019-2030. </w:t>
      </w:r>
    </w:p>
    <w:p w14:paraId="25DCA231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6F7DC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9F8664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2019 rok przedstawiają się następująco:</w:t>
      </w:r>
    </w:p>
    <w:p w14:paraId="27F39182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- 36 861 709,87 zł , w tym</w:t>
      </w:r>
    </w:p>
    <w:p w14:paraId="4621E046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4 306 640,48 zł</w:t>
      </w:r>
    </w:p>
    <w:p w14:paraId="1CA5B22D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- 38 882 709,87 zł, w tym </w:t>
      </w:r>
    </w:p>
    <w:p w14:paraId="1BB12C89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6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7 076 922,40 zł</w:t>
      </w:r>
    </w:p>
    <w:p w14:paraId="7706427B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316A29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27BEF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9863E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3FF3A2" w14:textId="35926268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</w:rPr>
        <w:t>Zweryfikowano wydatki na zadaniach inwestycyjnych - rok 2019 - tj. wprowadzono do bud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bookmarkStart w:id="0" w:name="_GoBack"/>
      <w:bookmarkEnd w:id="0"/>
      <w:r w:rsidRPr="00C5688B">
        <w:rPr>
          <w:rFonts w:ascii="Times New Roman" w:hAnsi="Times New Roman" w:cs="Times New Roman"/>
          <w:color w:val="000000"/>
          <w:sz w:val="24"/>
          <w:szCs w:val="24"/>
        </w:rPr>
        <w:t>etu przedsięwzięcie pn. "Rewitalizacja" kwota 12 000,00 zł oraz zaplanowano kontynuację zadania w roku 2021.</w:t>
      </w:r>
    </w:p>
    <w:p w14:paraId="1672521D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C4E838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88B">
        <w:rPr>
          <w:rFonts w:ascii="Times New Roman" w:hAnsi="Times New Roman" w:cs="Times New Roman"/>
          <w:color w:val="000000"/>
          <w:sz w:val="24"/>
          <w:szCs w:val="24"/>
          <w:u w:val="single"/>
        </w:rPr>
        <w:t>Plan Przychodów i Rozchodów nie uległ zmianie.</w:t>
      </w:r>
    </w:p>
    <w:p w14:paraId="2F0D8356" w14:textId="77777777" w:rsidR="00C5688B" w:rsidRPr="00C5688B" w:rsidRDefault="00C5688B" w:rsidP="00C5688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4744FA9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8B">
        <w:rPr>
          <w:rFonts w:ascii="Times New Roman" w:hAnsi="Times New Roman" w:cs="Times New Roman"/>
          <w:sz w:val="24"/>
          <w:szCs w:val="24"/>
          <w:u w:val="single"/>
        </w:rPr>
        <w:t xml:space="preserve">Kwoty długu i jego spłaty </w:t>
      </w:r>
    </w:p>
    <w:p w14:paraId="6D20E2EE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B">
        <w:rPr>
          <w:rFonts w:ascii="Times New Roman" w:hAnsi="Times New Roman" w:cs="Times New Roman"/>
          <w:sz w:val="24"/>
          <w:szCs w:val="24"/>
        </w:rPr>
        <w:t xml:space="preserve">Określono prognozowane spłaty rat kredytów i pożyczki w poszczególnych latach do końca ich całkowitej spłaty tj. do 2030 roku. </w:t>
      </w:r>
    </w:p>
    <w:p w14:paraId="21AEAAD1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B">
        <w:rPr>
          <w:rFonts w:ascii="Times New Roman" w:hAnsi="Times New Roman" w:cs="Times New Roman"/>
          <w:sz w:val="24"/>
          <w:szCs w:val="24"/>
        </w:rPr>
        <w:t xml:space="preserve">Wskaźnik spłaty z art. 243 </w:t>
      </w:r>
      <w:proofErr w:type="spellStart"/>
      <w:r w:rsidRPr="00C5688B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C5688B">
        <w:rPr>
          <w:rFonts w:ascii="Times New Roman" w:hAnsi="Times New Roman" w:cs="Times New Roman"/>
          <w:sz w:val="24"/>
          <w:szCs w:val="24"/>
        </w:rPr>
        <w:t xml:space="preserve"> jest zachowany na 2019 rok.</w:t>
      </w:r>
    </w:p>
    <w:p w14:paraId="44DBCC32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3583D0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30EA0C0" w14:textId="77777777" w:rsidR="00C5688B" w:rsidRPr="00C5688B" w:rsidRDefault="00C5688B" w:rsidP="00C5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D1E93A" w14:textId="77777777" w:rsidR="00EC5992" w:rsidRDefault="00EC5992"/>
    <w:sectPr w:rsidR="00EC5992" w:rsidSect="00F06D9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92"/>
    <w:rsid w:val="00C5688B"/>
    <w:rsid w:val="00E14F3E"/>
    <w:rsid w:val="00E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6B40"/>
  <w15:chartTrackingRefBased/>
  <w15:docId w15:val="{9578DA74-3450-4E1A-963A-1ED4292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2019-11-29T12:07:00Z</dcterms:created>
  <dcterms:modified xsi:type="dcterms:W3CDTF">2019-11-29T12:08:00Z</dcterms:modified>
</cp:coreProperties>
</file>