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7A0B1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0C7">
        <w:rPr>
          <w:rFonts w:ascii="Times New Roman" w:hAnsi="Times New Roman" w:cs="Times New Roman"/>
          <w:b/>
          <w:bCs/>
          <w:sz w:val="24"/>
          <w:szCs w:val="24"/>
        </w:rPr>
        <w:t>OBJAŚNIENIA   PRZYJĘTYCH   WARTOŚCI</w:t>
      </w:r>
    </w:p>
    <w:p w14:paraId="1CFC9DF7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200C7">
        <w:rPr>
          <w:rFonts w:ascii="Times New Roman" w:hAnsi="Times New Roman" w:cs="Times New Roman"/>
          <w:b/>
          <w:bCs/>
          <w:sz w:val="24"/>
          <w:szCs w:val="24"/>
        </w:rPr>
        <w:t>DO  WIELOLETNIEJ</w:t>
      </w:r>
      <w:proofErr w:type="gramEnd"/>
      <w:r w:rsidRPr="00B200C7">
        <w:rPr>
          <w:rFonts w:ascii="Times New Roman" w:hAnsi="Times New Roman" w:cs="Times New Roman"/>
          <w:b/>
          <w:bCs/>
          <w:sz w:val="24"/>
          <w:szCs w:val="24"/>
        </w:rPr>
        <w:t xml:space="preserve">  PROGNOZY  FINANSOWEJ</w:t>
      </w:r>
    </w:p>
    <w:p w14:paraId="2244C348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200C7">
        <w:rPr>
          <w:rFonts w:ascii="Times New Roman" w:hAnsi="Times New Roman" w:cs="Times New Roman"/>
          <w:b/>
          <w:bCs/>
          <w:sz w:val="24"/>
          <w:szCs w:val="24"/>
        </w:rPr>
        <w:t>GMINY  GRUTA</w:t>
      </w:r>
      <w:proofErr w:type="gramEnd"/>
      <w:r w:rsidRPr="00B200C7">
        <w:rPr>
          <w:rFonts w:ascii="Times New Roman" w:hAnsi="Times New Roman" w:cs="Times New Roman"/>
          <w:b/>
          <w:bCs/>
          <w:sz w:val="24"/>
          <w:szCs w:val="24"/>
        </w:rPr>
        <w:t xml:space="preserve">  NA  LATA 2021 - 2030</w:t>
      </w:r>
    </w:p>
    <w:p w14:paraId="43045DA0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88D02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="Times New Roman" w:hAnsi="Times New Roman" w:cs="Times New Roman"/>
          <w:sz w:val="24"/>
          <w:szCs w:val="24"/>
        </w:rPr>
        <w:t>Zgodnie z art.226 ust.1 i 2a ustawy o finansach publicznych w projekcie uchwały w sprawie wieloletniej prognozie finansowej uwzględniono:</w:t>
      </w:r>
    </w:p>
    <w:p w14:paraId="26963CF3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="Times New Roman" w:hAnsi="Times New Roman" w:cs="Times New Roman"/>
          <w:sz w:val="24"/>
          <w:szCs w:val="24"/>
        </w:rPr>
        <w:t>- dochody bieżące oraz wydatki bieżące budżetu gminy, w tym wydatki na obsługę długu,</w:t>
      </w:r>
    </w:p>
    <w:p w14:paraId="6CAD0B18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="Times New Roman" w:hAnsi="Times New Roman" w:cs="Times New Roman"/>
          <w:sz w:val="24"/>
          <w:szCs w:val="24"/>
        </w:rPr>
        <w:t>- dochody majątkowe, w tym dochody ze sprzedaży majątku oraz wydatki majątkowe budżetu gminy</w:t>
      </w:r>
    </w:p>
    <w:p w14:paraId="458F893C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="Times New Roman" w:hAnsi="Times New Roman" w:cs="Times New Roman"/>
          <w:sz w:val="24"/>
          <w:szCs w:val="24"/>
        </w:rPr>
        <w:t>- wynik budżetu</w:t>
      </w:r>
    </w:p>
    <w:p w14:paraId="2E90A3D5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="Times New Roman" w:hAnsi="Times New Roman" w:cs="Times New Roman"/>
          <w:sz w:val="24"/>
          <w:szCs w:val="24"/>
        </w:rPr>
        <w:t>-sposób sfinansowania budżetu w 2021 roku oraz przeznaczenie nadwyżki w kolejnych latach prognozy,</w:t>
      </w:r>
    </w:p>
    <w:p w14:paraId="7DE9DE78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="Times New Roman" w:hAnsi="Times New Roman" w:cs="Times New Roman"/>
          <w:sz w:val="24"/>
          <w:szCs w:val="24"/>
        </w:rPr>
        <w:t>- przychody i rozchody budżetu gminy, z uwzględnieniem długu zaciągniętego i planowanego do zaciągnięcia</w:t>
      </w:r>
    </w:p>
    <w:p w14:paraId="1008955C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="Times New Roman" w:hAnsi="Times New Roman" w:cs="Times New Roman"/>
          <w:sz w:val="24"/>
          <w:szCs w:val="24"/>
        </w:rPr>
        <w:t>- kwotę długu oraz sposób sfinansowania jego spłaty,</w:t>
      </w:r>
    </w:p>
    <w:p w14:paraId="3456B653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="Times New Roman" w:hAnsi="Times New Roman" w:cs="Times New Roman"/>
          <w:sz w:val="24"/>
          <w:szCs w:val="24"/>
        </w:rPr>
        <w:t>-kwoty wydatków bieżących i majątkowych wynikające z limitów wydatków na planowane i realizowane przedsięwzięcia,</w:t>
      </w:r>
    </w:p>
    <w:p w14:paraId="7D9D6810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="Times New Roman" w:hAnsi="Times New Roman" w:cs="Times New Roman"/>
          <w:sz w:val="24"/>
          <w:szCs w:val="24"/>
        </w:rPr>
        <w:t>- objaśnienia przyjętych wartości</w:t>
      </w:r>
    </w:p>
    <w:p w14:paraId="1AAE2CD2" w14:textId="23D9B64E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="Times New Roman" w:hAnsi="Times New Roman" w:cs="Times New Roman"/>
          <w:sz w:val="24"/>
          <w:szCs w:val="24"/>
        </w:rPr>
        <w:t>Przystępując do opracowania wieloletniej prognozy finansowej na lata 2021-2030 przyjęto zasadę ostrożnego planowania, uwzględniając sytuację ekonomiczną i finansową naszej gminy. Wieloletnia Prognoza Finansowa została opracowana na lata 2021-2030, w tym, prognoz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B200C7">
        <w:rPr>
          <w:rFonts w:ascii="Times New Roman" w:hAnsi="Times New Roman" w:cs="Times New Roman"/>
          <w:sz w:val="24"/>
          <w:szCs w:val="24"/>
        </w:rPr>
        <w:t xml:space="preserve"> kwoty długu na lata 2021 - 2030.</w:t>
      </w:r>
    </w:p>
    <w:p w14:paraId="26FA2345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7E3A2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00C7">
        <w:rPr>
          <w:rFonts w:ascii="Times New Roman" w:hAnsi="Times New Roman" w:cs="Times New Roman"/>
          <w:b/>
          <w:bCs/>
          <w:sz w:val="24"/>
          <w:szCs w:val="24"/>
          <w:u w:val="single"/>
        </w:rPr>
        <w:t>Przedsięwzięcia</w:t>
      </w:r>
    </w:p>
    <w:p w14:paraId="4654A853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="Times New Roman" w:hAnsi="Times New Roman" w:cs="Times New Roman"/>
          <w:sz w:val="24"/>
          <w:szCs w:val="24"/>
        </w:rPr>
        <w:t>Elementem projektu uchwały w sprawie WPF jest wykaz przedsięwzięć realizowanych w latach 2021-2030. Dla każdego przedsięwzięcia określono nazwę i cel oraz okres realizacji i łączne nakłady finansowe, limit wydatków w poszczególnych latach oraz limit zobowiązań.</w:t>
      </w:r>
    </w:p>
    <w:p w14:paraId="38CA5643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5C2793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00C7">
        <w:rPr>
          <w:rFonts w:ascii="Times New Roman" w:hAnsi="Times New Roman" w:cs="Times New Roman"/>
          <w:b/>
          <w:bCs/>
          <w:sz w:val="24"/>
          <w:szCs w:val="24"/>
          <w:u w:val="single"/>
        </w:rPr>
        <w:t>Dochody bieżące</w:t>
      </w:r>
    </w:p>
    <w:p w14:paraId="7B670711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="Times New Roman" w:hAnsi="Times New Roman" w:cs="Times New Roman"/>
          <w:sz w:val="24"/>
          <w:szCs w:val="24"/>
        </w:rPr>
        <w:t>Kwota dochodów bieżących na 2021 rok jest zgodna z planowanymi dochodami bieżącymi budżetu na rok 2021 ujętymi w projekcie uchwały budżetowej.</w:t>
      </w:r>
    </w:p>
    <w:p w14:paraId="3A87211F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="Times New Roman" w:hAnsi="Times New Roman" w:cs="Times New Roman"/>
          <w:sz w:val="24"/>
          <w:szCs w:val="24"/>
        </w:rPr>
        <w:t xml:space="preserve">Dochody bieżące ustalono na podstawie otrzymanych informacji </w:t>
      </w:r>
      <w:proofErr w:type="gramStart"/>
      <w:r w:rsidRPr="00B200C7">
        <w:rPr>
          <w:rFonts w:ascii="Times New Roman" w:hAnsi="Times New Roman" w:cs="Times New Roman"/>
          <w:sz w:val="24"/>
          <w:szCs w:val="24"/>
        </w:rPr>
        <w:t>z :</w:t>
      </w:r>
      <w:proofErr w:type="gramEnd"/>
    </w:p>
    <w:p w14:paraId="6D0E652C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="Times New Roman" w:hAnsi="Times New Roman" w:cs="Times New Roman"/>
          <w:sz w:val="24"/>
          <w:szCs w:val="24"/>
        </w:rPr>
        <w:t>- Ministerstwa Finansów w zakresie subwencji oraz udziałów w podatku dochodowym od osób fizycznych,</w:t>
      </w:r>
    </w:p>
    <w:p w14:paraId="5C4C2AB1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="Times New Roman" w:hAnsi="Times New Roman" w:cs="Times New Roman"/>
          <w:sz w:val="24"/>
          <w:szCs w:val="24"/>
        </w:rPr>
        <w:t>- Kujawsko - Pomorskiego Urzędu Wojewódzkiego w Bydgoszczy w zakresie dotacji celowych na realizację zadań bieżących z zakresu administracji rządowej oraz innych zadań zleconych gminom ustawami, własnych zadań bieżących gmin oraz zadań realizowanych na podstawie porozumień z organami administracji rządowej,</w:t>
      </w:r>
    </w:p>
    <w:p w14:paraId="710E9CBE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="Times New Roman" w:hAnsi="Times New Roman" w:cs="Times New Roman"/>
          <w:sz w:val="24"/>
          <w:szCs w:val="24"/>
        </w:rPr>
        <w:t>- Krajowego Biura Wyborczego Delegatura w Toruniu o wysokości dotacji celowej na prowadzenie i aktualizację stałego rejestru wyborców.</w:t>
      </w:r>
    </w:p>
    <w:p w14:paraId="58A01A0F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="Times New Roman" w:hAnsi="Times New Roman" w:cs="Times New Roman"/>
          <w:sz w:val="24"/>
          <w:szCs w:val="24"/>
        </w:rPr>
        <w:t>W zakresie pozostałych dochodów własnych, dochody ustalono na podstawie ich wykonania w latach 2018-2019 oraz przewidywanego wykonania za 2020 rok.</w:t>
      </w:r>
    </w:p>
    <w:p w14:paraId="1114A72A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="Times New Roman" w:hAnsi="Times New Roman" w:cs="Times New Roman"/>
          <w:sz w:val="24"/>
          <w:szCs w:val="24"/>
        </w:rPr>
        <w:t xml:space="preserve">Dochody bieżące zaplanowane na 2021 rok kierując się zasadą ostrożności. W 2021 roku kwoty dotacji celowej przyjęto zgodnie z informacjami dysponentów budżetowych. Realizacja zadania "500+" wpłynęła znacząco na wzrost dochodów bieżących gminy. Brak jest natomiast danych o wielkości dotacji celowych min. za zwrot podatku akcyzowego producentom rolnym, stypendia szkolne o charakterze socjalnym, dofinansowanie zadań w zakresie wychowania przedszkolnego. Wysokość wstępnie określonych dotacji celowych w ciągu roku budżetowego będzie ulegała zmianie. </w:t>
      </w:r>
    </w:p>
    <w:p w14:paraId="605DB772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="Times New Roman" w:hAnsi="Times New Roman" w:cs="Times New Roman"/>
          <w:sz w:val="24"/>
          <w:szCs w:val="24"/>
        </w:rPr>
        <w:t xml:space="preserve"> Rada Gminy Gruta 29 października 2019 r. podjęła uchwałę w sprawie określenia wysokości </w:t>
      </w:r>
      <w:r w:rsidRPr="00B200C7">
        <w:rPr>
          <w:rFonts w:ascii="Times New Roman" w:hAnsi="Times New Roman" w:cs="Times New Roman"/>
          <w:sz w:val="24"/>
          <w:szCs w:val="24"/>
        </w:rPr>
        <w:lastRenderedPageBreak/>
        <w:t>stawek podatku od nieruchomości. Zatem w projekcie na 2021 r. wprowadzono dochody zgodnie z podjętą uchwałą. Podatek rolny, dla potrzeb przygotowania prognoz na lata 2021-2030 ustalono na poziomie 55,0 zł/ha. W kolejnych latach począwszy od 2021 r. założono stawki podatków i opłat z 2021 roku, uwzględniając jednocześnie minimalną waloryzację oraz minimalny wzrost planowanych wpływów z subwencji ogólnej i dotacji celowych. Sporządzając prognozy przyjęto zasadę realności i ostrożnego planowania, uwzględniając sytuację ekonomiczną i finansową naszej gminy.</w:t>
      </w:r>
    </w:p>
    <w:p w14:paraId="06536B4E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="Times New Roman" w:hAnsi="Times New Roman" w:cs="Times New Roman"/>
          <w:sz w:val="24"/>
          <w:szCs w:val="24"/>
        </w:rPr>
        <w:t>Prognoza od roku 2024 została ustalona na zbliżonym poziomie w związku z długą perspektywą czasową i brakiem stabilności na rynku finansowym, który charakteryzuje się znacznymi wahaniami nawet w krótkich okresach czasowych.</w:t>
      </w:r>
    </w:p>
    <w:p w14:paraId="49484F79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DC160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0C7">
        <w:rPr>
          <w:rFonts w:ascii="Times New Roman" w:hAnsi="Times New Roman" w:cs="Times New Roman"/>
          <w:b/>
          <w:bCs/>
          <w:sz w:val="24"/>
          <w:szCs w:val="24"/>
          <w:u w:val="single"/>
        </w:rPr>
        <w:t>Dochody majątkowe</w:t>
      </w:r>
    </w:p>
    <w:p w14:paraId="6E9079B5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="Times New Roman" w:hAnsi="Times New Roman" w:cs="Times New Roman"/>
          <w:sz w:val="24"/>
          <w:szCs w:val="24"/>
        </w:rPr>
        <w:t>Przedstawiając prognozę dochodów majątkowych oraz prognozę przedsięwzięć wykorzystano materiały przygotowane przez poszczególne referaty. Dochody majątkowe to dochody planowane do uzyskania ze środków zewnętrznych w ramach realizacji inwestycji ze środków unijnych oraz ze środków uzyskanych na realizację zadań z dofinansowaniem zewnętrznym krajowym.</w:t>
      </w:r>
    </w:p>
    <w:p w14:paraId="3799FC15" w14:textId="2CEB43AC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="Times New Roman" w:hAnsi="Times New Roman" w:cs="Times New Roman"/>
          <w:sz w:val="24"/>
          <w:szCs w:val="24"/>
        </w:rPr>
        <w:t xml:space="preserve">Zaplanowane dochody majątkowe w 2021 roku wynoszą 3 313 315,86 zł, i są to środki udzielone w ramach </w:t>
      </w:r>
      <w:proofErr w:type="gramStart"/>
      <w:r w:rsidRPr="00B200C7">
        <w:rPr>
          <w:rFonts w:ascii="Times New Roman" w:hAnsi="Times New Roman" w:cs="Times New Roman"/>
          <w:sz w:val="24"/>
          <w:szCs w:val="24"/>
        </w:rPr>
        <w:t>przyznanej  pomocy</w:t>
      </w:r>
      <w:proofErr w:type="gramEnd"/>
      <w:r w:rsidRPr="00B200C7">
        <w:rPr>
          <w:rFonts w:ascii="Times New Roman" w:hAnsi="Times New Roman" w:cs="Times New Roman"/>
          <w:sz w:val="24"/>
          <w:szCs w:val="24"/>
        </w:rPr>
        <w:t xml:space="preserve"> na zadania inwestycyjne - otrzymana pozytywna decyzja lub podpisana umowa. Powyższ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200C7">
        <w:rPr>
          <w:rFonts w:ascii="Times New Roman" w:hAnsi="Times New Roman" w:cs="Times New Roman"/>
          <w:sz w:val="24"/>
          <w:szCs w:val="24"/>
        </w:rPr>
        <w:t xml:space="preserve"> zapewnia realność planu.</w:t>
      </w:r>
    </w:p>
    <w:p w14:paraId="296877B0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46E69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0C7">
        <w:rPr>
          <w:rFonts w:ascii="Times New Roman" w:hAnsi="Times New Roman" w:cs="Times New Roman"/>
          <w:color w:val="000000"/>
          <w:sz w:val="24"/>
          <w:szCs w:val="24"/>
        </w:rPr>
        <w:t xml:space="preserve">W latach 2021-2023 zaplanowano dochodów ze sprzedaży majątku gminy w </w:t>
      </w:r>
    </w:p>
    <w:p w14:paraId="35CC72F5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="Times New Roman" w:hAnsi="Times New Roman" w:cs="Times New Roman"/>
          <w:color w:val="000000"/>
          <w:sz w:val="24"/>
          <w:szCs w:val="24"/>
        </w:rPr>
        <w:t>wysokości 1 000,00 zł. W latach kolejnych nie planowano dochodu ze sprzedaży majątku.</w:t>
      </w:r>
    </w:p>
    <w:p w14:paraId="7F62FF69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D5A41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00C7">
        <w:rPr>
          <w:rFonts w:ascii="Times New Roman" w:hAnsi="Times New Roman" w:cs="Times New Roman"/>
          <w:b/>
          <w:bCs/>
          <w:sz w:val="24"/>
          <w:szCs w:val="24"/>
          <w:u w:val="single"/>
        </w:rPr>
        <w:t>Wydatki bieżące</w:t>
      </w:r>
    </w:p>
    <w:p w14:paraId="13AC33E0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="Times New Roman" w:hAnsi="Times New Roman" w:cs="Times New Roman"/>
          <w:sz w:val="24"/>
          <w:szCs w:val="24"/>
        </w:rPr>
        <w:t xml:space="preserve">Przy prognozowaniu wydatków w pierwszej kolejności określono poziom wydatków bieżących niezbędnych dla prawidłowego funkcjonowania jednostek organizacyjnych Gminy Gruta z uwzględnieniem założeń Ministra Finansów w zakresie kształtowania się poziomu inflacji. Kwota wydatków bieżących w WPF ustalona na 2021 rok jest zgodna z planowanymi wydatkami bieżącymi na 2021 r. ujętymi w projekcie uchwały budżetowej. </w:t>
      </w:r>
    </w:p>
    <w:p w14:paraId="504EDE0F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="Times New Roman" w:hAnsi="Times New Roman" w:cs="Times New Roman"/>
          <w:sz w:val="24"/>
          <w:szCs w:val="24"/>
        </w:rPr>
        <w:t>Na wydatki z tytułu wynagrodzeń i składek od nich naliczonych w latach 2021-2023 zaplanowano wzrostu poniżej 1 %.</w:t>
      </w:r>
    </w:p>
    <w:p w14:paraId="7CA9BC70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="Times New Roman" w:hAnsi="Times New Roman" w:cs="Times New Roman"/>
          <w:sz w:val="24"/>
          <w:szCs w:val="24"/>
        </w:rPr>
        <w:t xml:space="preserve">W roku 2021 uwzględniono podwyżki wynagrodzeń nauczycieli oraz znaczący wzrost cen energii. W latach kolejnych w celu obniżenia wydatków bieżących Gmina Gruta zamierza poczynić inwestycje prowadzące do zmniejszenia kosztów energii elektrycznej oraz termomodernizację kolejnych budynków należących do gminy.   </w:t>
      </w:r>
    </w:p>
    <w:p w14:paraId="16AF1079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="Times New Roman" w:hAnsi="Times New Roman" w:cs="Times New Roman"/>
          <w:sz w:val="24"/>
          <w:szCs w:val="24"/>
        </w:rPr>
        <w:t>Od roku 2025 do 2030 z uwagi na odległy okres, wydatki zaplanowano na zbliżonym poziomie.</w:t>
      </w:r>
    </w:p>
    <w:p w14:paraId="5517A821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9E058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00C7">
        <w:rPr>
          <w:rFonts w:ascii="Times New Roman" w:hAnsi="Times New Roman" w:cs="Times New Roman"/>
          <w:b/>
          <w:bCs/>
          <w:sz w:val="24"/>
          <w:szCs w:val="24"/>
          <w:u w:val="single"/>
        </w:rPr>
        <w:t>Wydatki majątkowe</w:t>
      </w:r>
    </w:p>
    <w:p w14:paraId="35404817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="Times New Roman" w:hAnsi="Times New Roman" w:cs="Times New Roman"/>
          <w:sz w:val="24"/>
          <w:szCs w:val="24"/>
        </w:rPr>
        <w:t>W ramach wydatków majątkowych zaplanowano wkład własny gminy na projekty, które gmina zamierza realizować w ramach środków europejskich z nowej perspektywy finansowej na lata 2014-2020 oraz środki na realizację własnych inwestycji rocznych.</w:t>
      </w:r>
    </w:p>
    <w:p w14:paraId="7E1A7610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="Times New Roman" w:hAnsi="Times New Roman" w:cs="Times New Roman"/>
          <w:sz w:val="24"/>
          <w:szCs w:val="24"/>
        </w:rPr>
        <w:t>Wydatki majątkowe zaplanowano do 2030 roku z uwzględnieniem planowanych przedsięwzięć.</w:t>
      </w:r>
    </w:p>
    <w:p w14:paraId="5830509A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="Times New Roman" w:hAnsi="Times New Roman" w:cs="Times New Roman"/>
          <w:sz w:val="24"/>
          <w:szCs w:val="24"/>
        </w:rPr>
        <w:t xml:space="preserve">Na wydatki majątkowe w latach 2021-2030 zaplanowano środki pozostałe po sfinansowaniu wydatków bieżących oraz wydatków związanych z obsługą długu. Środki te w większości stanowić będą wkład własny gminy na realizację projektów współfinansowanych z nowej perspektywy funduszy unijnych oraz pozostałych </w:t>
      </w:r>
      <w:proofErr w:type="gramStart"/>
      <w:r w:rsidRPr="00B200C7">
        <w:rPr>
          <w:rFonts w:ascii="Times New Roman" w:hAnsi="Times New Roman" w:cs="Times New Roman"/>
          <w:sz w:val="24"/>
          <w:szCs w:val="24"/>
        </w:rPr>
        <w:t>dotacji .</w:t>
      </w:r>
      <w:proofErr w:type="gramEnd"/>
    </w:p>
    <w:p w14:paraId="50910979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54584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="Times New Roman" w:hAnsi="Times New Roman" w:cs="Times New Roman"/>
          <w:sz w:val="24"/>
          <w:szCs w:val="24"/>
        </w:rPr>
        <w:t xml:space="preserve">W okresie objętym wieloletnią prognozą finansową planowane dochody bieżące są wyższe od </w:t>
      </w:r>
      <w:r w:rsidRPr="00B200C7">
        <w:rPr>
          <w:rFonts w:ascii="Times New Roman" w:hAnsi="Times New Roman" w:cs="Times New Roman"/>
          <w:sz w:val="24"/>
          <w:szCs w:val="24"/>
        </w:rPr>
        <w:lastRenderedPageBreak/>
        <w:t>planowanych wydatków bieżących, co spełnia wymogi art. 242 ust. 1 ustawy o finansach publicznych.</w:t>
      </w:r>
    </w:p>
    <w:p w14:paraId="1BE8BBA3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31828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00C7">
        <w:rPr>
          <w:rFonts w:ascii="Times New Roman" w:hAnsi="Times New Roman" w:cs="Times New Roman"/>
          <w:b/>
          <w:bCs/>
          <w:sz w:val="24"/>
          <w:szCs w:val="24"/>
          <w:u w:val="single"/>
        </w:rPr>
        <w:t>Spłata i obsługa długu</w:t>
      </w:r>
    </w:p>
    <w:p w14:paraId="3C729C5C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="Times New Roman" w:hAnsi="Times New Roman" w:cs="Times New Roman"/>
          <w:sz w:val="24"/>
          <w:szCs w:val="24"/>
        </w:rPr>
        <w:t>Długość wieloletniej prognozy finansowej została zdeterminowana przez okres na jaki zawarto umowy kredytowe.</w:t>
      </w:r>
    </w:p>
    <w:p w14:paraId="13E5497F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="Times New Roman" w:hAnsi="Times New Roman" w:cs="Times New Roman"/>
          <w:sz w:val="24"/>
          <w:szCs w:val="24"/>
        </w:rPr>
        <w:t>Wydatki na obsługę długu zaplanowano na podstawie harmonogramu spłat kredytów i pożyczki określonych w umowach. Spłata rat kapitałowych kredytów i pożyczki w kolejnych latach powodować będzie obniżenie zadłużenia, a tym samym spadek kosztów związanych z obsługą długu. Obsługa długu obejmuje lata 2021-2030.</w:t>
      </w:r>
    </w:p>
    <w:p w14:paraId="5E4138F8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365E7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00C7">
        <w:rPr>
          <w:rFonts w:ascii="Times New Roman" w:hAnsi="Times New Roman" w:cs="Times New Roman"/>
          <w:b/>
          <w:bCs/>
          <w:sz w:val="24"/>
          <w:szCs w:val="24"/>
          <w:u w:val="single"/>
        </w:rPr>
        <w:t>Wynik budżetu</w:t>
      </w:r>
    </w:p>
    <w:p w14:paraId="59D9004B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="Times New Roman" w:hAnsi="Times New Roman" w:cs="Times New Roman"/>
          <w:sz w:val="24"/>
          <w:szCs w:val="24"/>
        </w:rPr>
        <w:t>W 2021 roku ustalono deficyt budżetu w kwocie 1 940 000,00 zł, który zostanie sfinansowany przychodami z tytułu:</w:t>
      </w:r>
    </w:p>
    <w:p w14:paraId="74ED31FB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="Times New Roman" w:hAnsi="Times New Roman" w:cs="Times New Roman"/>
          <w:sz w:val="24"/>
          <w:szCs w:val="24"/>
        </w:rPr>
        <w:t>- zaciągniętych pożyczek i kredytów w wysokości 1 230 872,40 zł</w:t>
      </w:r>
    </w:p>
    <w:p w14:paraId="4AA36A3C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="Times New Roman" w:hAnsi="Times New Roman" w:cs="Times New Roman"/>
          <w:sz w:val="24"/>
          <w:szCs w:val="24"/>
        </w:rPr>
        <w:t xml:space="preserve">- wolnych środków, o których mowa w art. 217 ust. 2 pkt 6 ustawy w wysokości 709 127,60 zł. W latach 2022-2030 zaplanowano nadwyżkę budżetową. Kwoty nadwyżki budżetowej planowanej w poszczególnych latach objętych prognozą przeznaczono na spłatę zaciągniętych kredytów i pożyczek. </w:t>
      </w:r>
    </w:p>
    <w:p w14:paraId="7A2F69F8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137B3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00C7">
        <w:rPr>
          <w:rFonts w:ascii="Times New Roman" w:hAnsi="Times New Roman" w:cs="Times New Roman"/>
          <w:b/>
          <w:bCs/>
          <w:sz w:val="24"/>
          <w:szCs w:val="24"/>
          <w:u w:val="single"/>
        </w:rPr>
        <w:t>Przychody budżetu</w:t>
      </w:r>
    </w:p>
    <w:p w14:paraId="31C27105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="Times New Roman" w:hAnsi="Times New Roman" w:cs="Times New Roman"/>
          <w:sz w:val="24"/>
          <w:szCs w:val="24"/>
        </w:rPr>
        <w:t>Przychody budżetu w 2021 roku stanowią:</w:t>
      </w:r>
    </w:p>
    <w:p w14:paraId="0B769FFE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="Times New Roman" w:hAnsi="Times New Roman" w:cs="Times New Roman"/>
          <w:sz w:val="24"/>
          <w:szCs w:val="24"/>
        </w:rPr>
        <w:t xml:space="preserve">- planowane do zaciągnięcia kredyty i pożyczki w wysokości 2 100 000,00 zł przeznaczone na: </w:t>
      </w:r>
    </w:p>
    <w:p w14:paraId="60E47836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="Times New Roman" w:hAnsi="Times New Roman" w:cs="Times New Roman"/>
          <w:sz w:val="24"/>
          <w:szCs w:val="24"/>
        </w:rPr>
        <w:t>sfinansowanie deficytu budżetowego, kwota 1 230 872,40 zł</w:t>
      </w:r>
    </w:p>
    <w:p w14:paraId="37E49E83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="Times New Roman" w:hAnsi="Times New Roman" w:cs="Times New Roman"/>
          <w:sz w:val="24"/>
          <w:szCs w:val="24"/>
        </w:rPr>
        <w:t xml:space="preserve">spłatę zaciągniętych kredytów i pożyczek, kwota 869 127,60 zł </w:t>
      </w:r>
    </w:p>
    <w:p w14:paraId="58A1DAD6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="Times New Roman" w:hAnsi="Times New Roman" w:cs="Times New Roman"/>
          <w:sz w:val="24"/>
          <w:szCs w:val="24"/>
        </w:rPr>
        <w:t>- wolne środki, o których mowa w art. 217 ust. 2 pkt 6 ustawy w wysokości 709 127,60 zł</w:t>
      </w:r>
    </w:p>
    <w:p w14:paraId="54551603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A5BDC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00C7">
        <w:rPr>
          <w:rFonts w:ascii="Times New Roman" w:hAnsi="Times New Roman" w:cs="Times New Roman"/>
          <w:b/>
          <w:bCs/>
          <w:sz w:val="24"/>
          <w:szCs w:val="24"/>
          <w:u w:val="single"/>
        </w:rPr>
        <w:t>Rozchody budżetu</w:t>
      </w:r>
    </w:p>
    <w:p w14:paraId="5CE300E7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="Times New Roman" w:hAnsi="Times New Roman" w:cs="Times New Roman"/>
          <w:sz w:val="24"/>
          <w:szCs w:val="24"/>
        </w:rPr>
        <w:t>Rozchody budżetu w 2021 roku stanowią spłaty kredytów i pożyczki zaciągniętych w latach poprzednich w wysokości 869 127,60 zł. Gmina posiada pełne zabezpieczenie finansowe na spłatę rat kredytowych w kolejnych latach.</w:t>
      </w:r>
    </w:p>
    <w:p w14:paraId="0BA69309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37014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00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Kwoty długu i jego spłaty </w:t>
      </w:r>
    </w:p>
    <w:p w14:paraId="51CF5E65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="Times New Roman" w:hAnsi="Times New Roman" w:cs="Times New Roman"/>
          <w:sz w:val="24"/>
          <w:szCs w:val="24"/>
        </w:rPr>
        <w:t xml:space="preserve">Określono prognozowane spłaty rat kredytów i pożyczki w poszczególnych latach do końca ich całkowitej spłaty tj. do 2030 roku. </w:t>
      </w:r>
    </w:p>
    <w:p w14:paraId="1B652C33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="Times New Roman" w:hAnsi="Times New Roman" w:cs="Times New Roman"/>
          <w:sz w:val="24"/>
          <w:szCs w:val="24"/>
        </w:rPr>
        <w:t xml:space="preserve">Wskaźnik spłaty z art. 243 </w:t>
      </w:r>
      <w:proofErr w:type="spellStart"/>
      <w:r w:rsidRPr="00B200C7">
        <w:rPr>
          <w:rFonts w:ascii="Times New Roman" w:hAnsi="Times New Roman" w:cs="Times New Roman"/>
          <w:sz w:val="24"/>
          <w:szCs w:val="24"/>
        </w:rPr>
        <w:t>ufp</w:t>
      </w:r>
      <w:proofErr w:type="spellEnd"/>
      <w:r w:rsidRPr="00B200C7">
        <w:rPr>
          <w:rFonts w:ascii="Times New Roman" w:hAnsi="Times New Roman" w:cs="Times New Roman"/>
          <w:sz w:val="24"/>
          <w:szCs w:val="24"/>
        </w:rPr>
        <w:t xml:space="preserve"> jest zachowany na 2021 rok.</w:t>
      </w:r>
    </w:p>
    <w:p w14:paraId="135D5C66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="Times New Roman" w:hAnsi="Times New Roman" w:cs="Times New Roman"/>
          <w:sz w:val="24"/>
          <w:szCs w:val="24"/>
        </w:rPr>
        <w:t>W kolejnych latach gmina spełnia wskaźniki określone ustawą o finansach publicznych.</w:t>
      </w:r>
    </w:p>
    <w:p w14:paraId="7FAE6D8C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D9269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6BE67" w14:textId="3E327CFC" w:rsid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1A112" w14:textId="1DBCFAFF" w:rsid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5B8BD" w14:textId="6EBD1C06" w:rsid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90BA3" w14:textId="727056FC" w:rsid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5FB87" w14:textId="784F5F27" w:rsid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257B4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363B6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52558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66DEC" w14:textId="77777777" w:rsidR="00B200C7" w:rsidRPr="00B200C7" w:rsidRDefault="00B200C7" w:rsidP="00B20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5"/>
        <w:gridCol w:w="3855"/>
      </w:tblGrid>
      <w:tr w:rsidR="00B200C7" w:rsidRPr="00B200C7" w14:paraId="74672739" w14:textId="77777777">
        <w:trPr>
          <w:trHeight w:val="754"/>
        </w:trPr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3BF1D" w14:textId="77777777" w:rsidR="00B200C7" w:rsidRPr="00B200C7" w:rsidRDefault="00B200C7" w:rsidP="00B200C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00C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Instytucja finansująca /Nr umowy kredytu/pożyczki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47A736" w14:textId="77777777" w:rsidR="00B200C7" w:rsidRPr="00B200C7" w:rsidRDefault="00B200C7" w:rsidP="00B200C7">
            <w:pPr>
              <w:tabs>
                <w:tab w:val="left" w:pos="3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5" w:lineRule="exact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00C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Saldo kredytów i pożyczek wynikające z</w:t>
            </w:r>
            <w:r w:rsidRPr="00B200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200C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ksiąg</w:t>
            </w:r>
          </w:p>
          <w:p w14:paraId="10E676C5" w14:textId="77777777" w:rsidR="00B200C7" w:rsidRPr="00B200C7" w:rsidRDefault="00B200C7" w:rsidP="00B200C7">
            <w:pPr>
              <w:tabs>
                <w:tab w:val="left" w:pos="3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5" w:lineRule="exact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00C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rachunkowych wg stan na 31.10.2020 r.</w:t>
            </w:r>
          </w:p>
        </w:tc>
      </w:tr>
      <w:tr w:rsidR="00B200C7" w:rsidRPr="00B200C7" w14:paraId="70ABB25A" w14:textId="77777777">
        <w:trPr>
          <w:trHeight w:val="749"/>
        </w:trPr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8B6BC" w14:textId="77777777" w:rsidR="00B200C7" w:rsidRPr="00B200C7" w:rsidRDefault="00B200C7" w:rsidP="00B200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00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BOŚ S.A. / Nr S/86/09/2013/1027/F/CEB/EIB4/145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71C0B" w14:textId="77777777" w:rsidR="00B200C7" w:rsidRPr="00B200C7" w:rsidRDefault="00B200C7" w:rsidP="00B200C7">
            <w:pPr>
              <w:tabs>
                <w:tab w:val="left" w:pos="7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768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00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137 142,89 </w:t>
            </w:r>
          </w:p>
        </w:tc>
      </w:tr>
      <w:tr w:rsidR="00B200C7" w:rsidRPr="00B200C7" w14:paraId="701AE84A" w14:textId="77777777">
        <w:trPr>
          <w:trHeight w:val="749"/>
        </w:trPr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6172B" w14:textId="77777777" w:rsidR="00B200C7" w:rsidRPr="00B200C7" w:rsidRDefault="00B200C7" w:rsidP="00B200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00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BOŚ S.A. / Nr S/1/09/2013/1027/F/OBR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37275" w14:textId="77777777" w:rsidR="00B200C7" w:rsidRPr="00B200C7" w:rsidRDefault="00B200C7" w:rsidP="00B200C7">
            <w:pPr>
              <w:tabs>
                <w:tab w:val="left" w:pos="7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768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00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3 566 000,00 </w:t>
            </w:r>
          </w:p>
        </w:tc>
      </w:tr>
      <w:tr w:rsidR="00B200C7" w:rsidRPr="00B200C7" w14:paraId="5113B4D2" w14:textId="77777777">
        <w:trPr>
          <w:trHeight w:val="749"/>
        </w:trPr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E4D67" w14:textId="77777777" w:rsidR="00B200C7" w:rsidRPr="00B200C7" w:rsidRDefault="00B200C7" w:rsidP="00B200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200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WFOŚiGW</w:t>
            </w:r>
            <w:proofErr w:type="spellEnd"/>
            <w:r w:rsidRPr="00B200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 Toruniu / Nr PT13038/OW-kk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C3F42" w14:textId="77777777" w:rsidR="00B200C7" w:rsidRPr="00B200C7" w:rsidRDefault="00B200C7" w:rsidP="00B200C7">
            <w:pPr>
              <w:tabs>
                <w:tab w:val="left" w:pos="7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768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00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78 520,00 </w:t>
            </w:r>
          </w:p>
        </w:tc>
      </w:tr>
      <w:tr w:rsidR="00B200C7" w:rsidRPr="00B200C7" w14:paraId="669A21C0" w14:textId="77777777">
        <w:trPr>
          <w:trHeight w:val="749"/>
        </w:trPr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CC137" w14:textId="77777777" w:rsidR="00B200C7" w:rsidRPr="00B200C7" w:rsidRDefault="00B200C7" w:rsidP="00B200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BS Łasin / Nr 19603/71879/2013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D4E86" w14:textId="77777777" w:rsidR="00B200C7" w:rsidRPr="00B200C7" w:rsidRDefault="00B200C7" w:rsidP="00B200C7">
            <w:pPr>
              <w:tabs>
                <w:tab w:val="left" w:pos="7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768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00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1 718 500,00 </w:t>
            </w:r>
          </w:p>
        </w:tc>
      </w:tr>
      <w:tr w:rsidR="00B200C7" w:rsidRPr="00B200C7" w14:paraId="18061C1E" w14:textId="77777777">
        <w:trPr>
          <w:trHeight w:val="749"/>
        </w:trPr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DAFFF" w14:textId="77777777" w:rsidR="00B200C7" w:rsidRPr="00B200C7" w:rsidRDefault="00B200C7" w:rsidP="00B200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00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BS Łasin/Umowa nr 21784/71879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59D09" w14:textId="77777777" w:rsidR="00B200C7" w:rsidRPr="00B200C7" w:rsidRDefault="00B200C7" w:rsidP="00B200C7">
            <w:pPr>
              <w:tabs>
                <w:tab w:val="left" w:pos="7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768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00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336 000,00 </w:t>
            </w:r>
          </w:p>
        </w:tc>
      </w:tr>
      <w:tr w:rsidR="00B200C7" w:rsidRPr="00B200C7" w14:paraId="080C8192" w14:textId="77777777">
        <w:trPr>
          <w:trHeight w:val="749"/>
        </w:trPr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16711" w14:textId="77777777" w:rsidR="00B200C7" w:rsidRPr="00B200C7" w:rsidRDefault="00B200C7" w:rsidP="00B200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00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BGK O/Toruń / Umowa Nr 19/1930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BCB8C" w14:textId="77777777" w:rsidR="00B200C7" w:rsidRPr="00B200C7" w:rsidRDefault="00B200C7" w:rsidP="00B200C7">
            <w:pPr>
              <w:tabs>
                <w:tab w:val="left" w:pos="7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768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00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1 852 500,01 </w:t>
            </w:r>
          </w:p>
        </w:tc>
      </w:tr>
      <w:tr w:rsidR="00B200C7" w:rsidRPr="00B200C7" w14:paraId="54352507" w14:textId="77777777">
        <w:trPr>
          <w:trHeight w:val="346"/>
        </w:trPr>
        <w:tc>
          <w:tcPr>
            <w:tcW w:w="47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2D36AFF" w14:textId="77777777" w:rsidR="00B200C7" w:rsidRPr="00B200C7" w:rsidRDefault="00B200C7" w:rsidP="00B200C7">
            <w:pPr>
              <w:pBdr>
                <w:left w:val="single" w:sz="16" w:space="1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3BC91E0" w14:textId="77777777" w:rsidR="00B200C7" w:rsidRPr="00B200C7" w:rsidRDefault="00B200C7" w:rsidP="00B200C7">
            <w:pPr>
              <w:pBdr>
                <w:left w:val="single" w:sz="8" w:space="1" w:color="auto"/>
                <w:right w:val="single" w:sz="8" w:space="1" w:color="auto"/>
              </w:pBdr>
              <w:tabs>
                <w:tab w:val="left" w:pos="68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68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200C7" w:rsidRPr="00B200C7" w14:paraId="33703F59" w14:textId="77777777">
        <w:trPr>
          <w:trHeight w:val="346"/>
        </w:trPr>
        <w:tc>
          <w:tcPr>
            <w:tcW w:w="47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5DA518A" w14:textId="77777777" w:rsidR="00B200C7" w:rsidRPr="00B200C7" w:rsidRDefault="00B200C7" w:rsidP="00B200C7">
            <w:pPr>
              <w:pBdr>
                <w:left w:val="single" w:sz="16" w:space="1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376E65C" w14:textId="77777777" w:rsidR="00B200C7" w:rsidRPr="00B200C7" w:rsidRDefault="00B200C7" w:rsidP="00B200C7">
            <w:pPr>
              <w:pBdr>
                <w:left w:val="single" w:sz="8" w:space="1" w:color="auto"/>
                <w:right w:val="single" w:sz="8" w:space="1" w:color="auto"/>
              </w:pBdr>
              <w:tabs>
                <w:tab w:val="left" w:pos="68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68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200C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7 688 662,90 </w:t>
            </w:r>
          </w:p>
        </w:tc>
      </w:tr>
    </w:tbl>
    <w:p w14:paraId="743B10C5" w14:textId="77777777" w:rsidR="00B200C7" w:rsidRPr="00B200C7" w:rsidRDefault="00B200C7" w:rsidP="00B20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4CBDD8F" w14:textId="77777777" w:rsidR="00FF078D" w:rsidRDefault="00FF078D"/>
    <w:sectPr w:rsidR="00FF078D" w:rsidSect="00080EE3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8D"/>
    <w:rsid w:val="00790B00"/>
    <w:rsid w:val="00B200C7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318B"/>
  <w15:chartTrackingRefBased/>
  <w15:docId w15:val="{2751CEC1-17C3-46DC-ABBB-9B79107D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1226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2021-01-04T09:16:00Z</dcterms:created>
  <dcterms:modified xsi:type="dcterms:W3CDTF">2021-01-04T09:30:00Z</dcterms:modified>
</cp:coreProperties>
</file>